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3A" w:rsidRDefault="00402707">
      <w:pPr>
        <w:pStyle w:val="Heading1"/>
        <w:jc w:val="center"/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proofErr w:type="spellStart"/>
      <w:r>
        <w:rPr>
          <w:sz w:val="28"/>
          <w:szCs w:val="28"/>
        </w:rPr>
        <w:t>Sheerhatch</w:t>
      </w:r>
      <w:proofErr w:type="spellEnd"/>
      <w:r>
        <w:rPr>
          <w:sz w:val="28"/>
          <w:szCs w:val="28"/>
        </w:rPr>
        <w:t xml:space="preserve"> Pupil premium strategy statement 2021-2022 </w:t>
      </w:r>
    </w:p>
    <w:p w:rsidR="00DE7E3A" w:rsidRDefault="00402707">
      <w:pPr>
        <w:pStyle w:val="Heading2"/>
        <w:rPr>
          <w:b w:val="0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 w:val="0"/>
          <w:color w:val="000000"/>
          <w:sz w:val="24"/>
          <w:szCs w:val="24"/>
        </w:rPr>
        <w:t xml:space="preserve">This statement details our school’s use of pupil premium (and recovery premium for the 2021 to 2022 academic year) funding to help improve the attainment of our disadvantaged pupils. </w:t>
      </w:r>
    </w:p>
    <w:p w:rsidR="00DE7E3A" w:rsidRDefault="00402707">
      <w:pPr>
        <w:pStyle w:val="Heading2"/>
        <w:spacing w:before="24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:rsidR="00DE7E3A" w:rsidRDefault="00402707">
      <w:pPr>
        <w:pStyle w:val="Heading2"/>
      </w:pPr>
      <w:r>
        <w:t>School overview</w:t>
      </w:r>
    </w:p>
    <w:tbl>
      <w:tblPr>
        <w:tblStyle w:val="ab"/>
        <w:tblW w:w="9486" w:type="dxa"/>
        <w:tblLayout w:type="fixed"/>
        <w:tblLook w:val="0400" w:firstRow="0" w:lastRow="0" w:firstColumn="0" w:lastColumn="0" w:noHBand="0" w:noVBand="1"/>
      </w:tblPr>
      <w:tblGrid>
        <w:gridCol w:w="6517"/>
        <w:gridCol w:w="2969"/>
      </w:tblGrid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proofErr w:type="spellStart"/>
            <w:r>
              <w:t>Sheerhatch</w:t>
            </w:r>
            <w:proofErr w:type="spellEnd"/>
            <w:r>
              <w:t xml:space="preserve"> Primary School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126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14.3%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 xml:space="preserve">Academic year/years that our current pupil premium strategy plan covers </w:t>
            </w:r>
            <w:r>
              <w:rPr>
                <w:b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2021-22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 2021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Sept 2022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Helen Ryan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 xml:space="preserve">Danica Kipling </w:t>
            </w:r>
          </w:p>
        </w:tc>
      </w:tr>
      <w:tr w:rsidR="00DE7E3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Governor / Trustee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Mary Whitehead</w:t>
            </w:r>
          </w:p>
        </w:tc>
      </w:tr>
    </w:tbl>
    <w:p w:rsidR="00DE7E3A" w:rsidRDefault="00402707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Style w:val="ac"/>
        <w:tblW w:w="9486" w:type="dxa"/>
        <w:tblLayout w:type="fixed"/>
        <w:tblLook w:val="0400" w:firstRow="0" w:lastRow="0" w:firstColumn="0" w:lastColumn="0" w:noHBand="0" w:noVBand="1"/>
      </w:tblPr>
      <w:tblGrid>
        <w:gridCol w:w="6516"/>
        <w:gridCol w:w="2970"/>
      </w:tblGrid>
      <w:tr w:rsidR="00DE7E3A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rPr>
                <w:b/>
              </w:rPr>
              <w:t>Amount</w:t>
            </w:r>
          </w:p>
        </w:tc>
      </w:tr>
      <w:tr w:rsidR="00DE7E3A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£22,641</w:t>
            </w:r>
          </w:p>
        </w:tc>
      </w:tr>
      <w:tr w:rsidR="00DE7E3A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£2,610</w:t>
            </w:r>
          </w:p>
        </w:tc>
      </w:tr>
      <w:tr w:rsidR="00DE7E3A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£0</w:t>
            </w:r>
          </w:p>
        </w:tc>
      </w:tr>
      <w:tr w:rsidR="00DE7E3A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£25,251</w:t>
            </w:r>
          </w:p>
        </w:tc>
      </w:tr>
    </w:tbl>
    <w:p w:rsidR="00DE7E3A" w:rsidRDefault="00402707">
      <w:pPr>
        <w:pStyle w:val="Heading1"/>
      </w:pPr>
      <w:r>
        <w:lastRenderedPageBreak/>
        <w:t>Part A: Pupil premium strategy plan</w:t>
      </w:r>
    </w:p>
    <w:p w:rsidR="00DE7E3A" w:rsidRDefault="00402707">
      <w:pPr>
        <w:pStyle w:val="Heading2"/>
      </w:pPr>
      <w:bookmarkStart w:id="3" w:name="_heading=h.1fob9te" w:colFirst="0" w:colLast="0"/>
      <w:bookmarkEnd w:id="3"/>
      <w:r>
        <w:t>Statement of intent</w:t>
      </w:r>
    </w:p>
    <w:tbl>
      <w:tblPr>
        <w:tblStyle w:val="ad"/>
        <w:tblW w:w="9486" w:type="dxa"/>
        <w:tblLayout w:type="fixed"/>
        <w:tblLook w:val="0400" w:firstRow="0" w:lastRow="0" w:firstColumn="0" w:lastColumn="0" w:noHBand="0" w:noVBand="1"/>
      </w:tblPr>
      <w:tblGrid>
        <w:gridCol w:w="9486"/>
      </w:tblGrid>
      <w:tr w:rsidR="00DE7E3A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i/>
              </w:rPr>
            </w:pPr>
            <w:r>
              <w:rPr>
                <w:i/>
              </w:rPr>
              <w:t>Every child has an equal chance to succeed and not disadvantaged</w:t>
            </w:r>
          </w:p>
          <w:p w:rsidR="00DE7E3A" w:rsidRDefault="004027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</w:rPr>
            </w:pPr>
            <w:r>
              <w:rPr>
                <w:i/>
              </w:rPr>
              <w:t>Every child to achieve</w:t>
            </w:r>
          </w:p>
          <w:p w:rsidR="00DE7E3A" w:rsidRDefault="004027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i/>
              </w:rPr>
              <w:t>Every child is given a range of positive and wider opportunities</w:t>
            </w:r>
          </w:p>
        </w:tc>
      </w:tr>
    </w:tbl>
    <w:p w:rsidR="00DE7E3A" w:rsidRDefault="00402707">
      <w:pPr>
        <w:pStyle w:val="Heading2"/>
        <w:spacing w:before="600"/>
      </w:pPr>
      <w:r>
        <w:t>Challenges</w:t>
      </w:r>
    </w:p>
    <w:p w:rsidR="00DE7E3A" w:rsidRDefault="00402707">
      <w:pPr>
        <w:spacing w:before="120" w:line="240" w:lineRule="auto"/>
      </w:pPr>
      <w:r>
        <w:rPr>
          <w:color w:val="000000"/>
        </w:rPr>
        <w:t>This details the key challenges to achievement that we have identified among our disadvantaged pupils.</w:t>
      </w:r>
    </w:p>
    <w:tbl>
      <w:tblPr>
        <w:tblStyle w:val="ae"/>
        <w:tblW w:w="9486" w:type="dxa"/>
        <w:tblLayout w:type="fixed"/>
        <w:tblLook w:val="0400" w:firstRow="0" w:lastRow="0" w:firstColumn="0" w:lastColumn="0" w:noHBand="0" w:noVBand="1"/>
      </w:tblPr>
      <w:tblGrid>
        <w:gridCol w:w="1477"/>
        <w:gridCol w:w="8009"/>
      </w:tblGrid>
      <w:tr w:rsidR="00DE7E3A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 xml:space="preserve">Detail of challenge </w:t>
            </w:r>
          </w:p>
        </w:tc>
      </w:tr>
      <w:tr w:rsidR="00DE7E3A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rPr>
                <w:sz w:val="22"/>
                <w:szCs w:val="22"/>
              </w:rPr>
              <w:t xml:space="preserve">Lower engagement in lockdown has created some gaps in learning </w:t>
            </w:r>
          </w:p>
        </w:tc>
      </w:tr>
      <w:tr w:rsidR="00DE7E3A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Attendance weak for </w:t>
            </w:r>
            <w:r>
              <w:rPr>
                <w:b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families</w:t>
            </w:r>
          </w:p>
        </w:tc>
      </w:tr>
      <w:tr w:rsidR="00DE7E3A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 identified as a challenge for these pupils (Data and Pupil voice)</w:t>
            </w:r>
          </w:p>
        </w:tc>
      </w:tr>
      <w:tr w:rsidR="00DE7E3A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Reduced engagement has affected pupils wellbeing and attitudes to learning </w:t>
            </w:r>
          </w:p>
        </w:tc>
      </w:tr>
      <w:tr w:rsidR="00DE7E3A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bookmarkStart w:id="4" w:name="_heading=h.3znysh7" w:colFirst="0" w:colLast="0"/>
            <w:bookmarkEnd w:id="4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DE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</w:p>
        </w:tc>
      </w:tr>
    </w:tbl>
    <w:p w:rsidR="00DE7E3A" w:rsidRDefault="00402707">
      <w:pPr>
        <w:pStyle w:val="Heading2"/>
        <w:spacing w:before="600"/>
      </w:pPr>
      <w:r>
        <w:t xml:space="preserve">Intended outcomes </w:t>
      </w:r>
    </w:p>
    <w:p w:rsidR="00DE7E3A" w:rsidRDefault="00402707">
      <w:r>
        <w:rPr>
          <w:color w:val="000000"/>
        </w:rPr>
        <w:t xml:space="preserve">This explains the outcomes we are aiming for </w:t>
      </w:r>
      <w:r>
        <w:rPr>
          <w:b/>
          <w:color w:val="000000"/>
        </w:rPr>
        <w:t>by the end of our current strategy plan</w:t>
      </w:r>
      <w:r>
        <w:rPr>
          <w:color w:val="000000"/>
        </w:rPr>
        <w:t>, and how we will measure whether they have been achieved.</w:t>
      </w:r>
    </w:p>
    <w:tbl>
      <w:tblPr>
        <w:tblStyle w:val="af"/>
        <w:tblW w:w="9486" w:type="dxa"/>
        <w:tblLayout w:type="fixed"/>
        <w:tblLook w:val="0400" w:firstRow="0" w:lastRow="0" w:firstColumn="0" w:lastColumn="0" w:noHBand="0" w:noVBand="1"/>
      </w:tblPr>
      <w:tblGrid>
        <w:gridCol w:w="4815"/>
        <w:gridCol w:w="4671"/>
      </w:tblGrid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Success criteria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right="57"/>
            </w:pPr>
            <w:r>
              <w:t xml:space="preserve">Identified gaps are closed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Target Tracker data shows improved data 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Improved attendance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PP children attendance is not lower than non PP children 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progress in maths for Pupil Premium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Average: 6 steps progress for Pupil Premium children 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Improved wellbeing for all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 Wellbeing surveys 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range of opportunities available for PP children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’30 Things at </w:t>
            </w:r>
            <w:proofErr w:type="spellStart"/>
            <w:r>
              <w:rPr>
                <w:sz w:val="22"/>
                <w:szCs w:val="22"/>
              </w:rPr>
              <w:t>Sheerhatch</w:t>
            </w:r>
            <w:proofErr w:type="spellEnd"/>
            <w:r>
              <w:rPr>
                <w:sz w:val="22"/>
                <w:szCs w:val="22"/>
              </w:rPr>
              <w:t>’ booklet ticked off</w:t>
            </w:r>
          </w:p>
        </w:tc>
      </w:tr>
    </w:tbl>
    <w:p w:rsidR="00DE7E3A" w:rsidRDefault="00DE7E3A">
      <w:pPr>
        <w:pStyle w:val="Heading2"/>
      </w:pPr>
    </w:p>
    <w:p w:rsidR="00DE7E3A" w:rsidRDefault="00402707">
      <w:pPr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:rsidR="00DE7E3A" w:rsidRDefault="00402707">
      <w:pPr>
        <w:pStyle w:val="Heading2"/>
      </w:pPr>
      <w:r>
        <w:lastRenderedPageBreak/>
        <w:t>Activity in this academic year</w:t>
      </w:r>
    </w:p>
    <w:p w:rsidR="00DE7E3A" w:rsidRDefault="00402707">
      <w:pPr>
        <w:spacing w:after="480"/>
      </w:pPr>
      <w:r>
        <w:t xml:space="preserve">This details how we intend to spend our pupil premium (and recovery premium funding) </w:t>
      </w:r>
      <w:r>
        <w:rPr>
          <w:b/>
        </w:rPr>
        <w:t>this academic year</w:t>
      </w:r>
      <w:r>
        <w:t xml:space="preserve"> to address the challenges listed above.</w:t>
      </w:r>
    </w:p>
    <w:p w:rsidR="00DE7E3A" w:rsidRDefault="00402707">
      <w:pPr>
        <w:pStyle w:val="Heading3"/>
      </w:pPr>
      <w:r>
        <w:t>Teaching (for example, CPD, recruitment and retention)</w:t>
      </w:r>
    </w:p>
    <w:p w:rsidR="00DE7E3A" w:rsidRDefault="00402707">
      <w:r>
        <w:t xml:space="preserve">Budgeted cost: £ </w:t>
      </w:r>
      <w:r>
        <w:rPr>
          <w:i/>
        </w:rPr>
        <w:t>837</w:t>
      </w:r>
    </w:p>
    <w:tbl>
      <w:tblPr>
        <w:tblStyle w:val="af0"/>
        <w:tblW w:w="9486" w:type="dxa"/>
        <w:tblLayout w:type="fixed"/>
        <w:tblLook w:val="0400" w:firstRow="0" w:lastRow="0" w:firstColumn="0" w:lastColumn="0" w:noHBand="0" w:noVBand="1"/>
      </w:tblPr>
      <w:tblGrid>
        <w:gridCol w:w="2688"/>
        <w:gridCol w:w="4254"/>
        <w:gridCol w:w="2544"/>
      </w:tblGrid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Challenge number(s) addressed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rPr>
                <w:i/>
                <w:sz w:val="22"/>
                <w:szCs w:val="22"/>
              </w:rPr>
              <w:t xml:space="preserve">Traded services provided by Borough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Supports teachers with closing the gaps in learning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Buy-back Ed Psych package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First Teaching supports learning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CPD Diamond (range of courses available)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CPD related to specific needs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</w:tbl>
    <w:p w:rsidR="00DE7E3A" w:rsidRDefault="00DE7E3A">
      <w:pPr>
        <w:keepNext/>
        <w:spacing w:after="60"/>
      </w:pPr>
    </w:p>
    <w:p w:rsidR="00DE7E3A" w:rsidRDefault="00402707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 xml:space="preserve">Targeted academic support (for example, tutoring, one-to-one support structured interventions) </w:t>
      </w:r>
    </w:p>
    <w:p w:rsidR="00DE7E3A" w:rsidRDefault="00402707">
      <w:r>
        <w:t xml:space="preserve">Budgeted cost: £ </w:t>
      </w:r>
      <w:r>
        <w:rPr>
          <w:i/>
        </w:rPr>
        <w:t>17,297.50</w:t>
      </w:r>
    </w:p>
    <w:tbl>
      <w:tblPr>
        <w:tblStyle w:val="af1"/>
        <w:tblW w:w="9486" w:type="dxa"/>
        <w:tblLayout w:type="fixed"/>
        <w:tblLook w:val="0400" w:firstRow="0" w:lastRow="0" w:firstColumn="0" w:lastColumn="0" w:noHBand="0" w:noVBand="1"/>
      </w:tblPr>
      <w:tblGrid>
        <w:gridCol w:w="2688"/>
        <w:gridCol w:w="4254"/>
        <w:gridCol w:w="2544"/>
      </w:tblGrid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Challenge number(s) addressed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rPr>
                <w:i/>
                <w:sz w:val="22"/>
                <w:szCs w:val="22"/>
              </w:rPr>
              <w:t>Small group intervention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Teaching Toolkit doc below (EEF)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6F6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X9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1:1 tutoring/intervention (such as Literacy Fischer Trust)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Teaching Toolkit doc below (EEF)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6F6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X1</w:t>
            </w:r>
          </w:p>
        </w:tc>
      </w:tr>
    </w:tbl>
    <w:p w:rsidR="00DE7E3A" w:rsidRDefault="00DE7E3A">
      <w:pPr>
        <w:spacing w:after="0"/>
        <w:rPr>
          <w:b/>
          <w:color w:val="104F75"/>
          <w:sz w:val="28"/>
          <w:szCs w:val="28"/>
        </w:rPr>
      </w:pPr>
    </w:p>
    <w:p w:rsidR="00DE7E3A" w:rsidRDefault="00402707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:rsidR="00DE7E3A" w:rsidRDefault="00402707">
      <w:pPr>
        <w:spacing w:before="240" w:after="120"/>
        <w:rPr>
          <w:highlight w:val="white"/>
        </w:rPr>
      </w:pPr>
      <w:r>
        <w:rPr>
          <w:highlight w:val="white"/>
        </w:rPr>
        <w:t xml:space="preserve">Budgeted cost: £ </w:t>
      </w:r>
      <w:r>
        <w:rPr>
          <w:i/>
          <w:highlight w:val="white"/>
        </w:rPr>
        <w:t>6810</w:t>
      </w:r>
    </w:p>
    <w:tbl>
      <w:tblPr>
        <w:tblStyle w:val="af2"/>
        <w:tblW w:w="9486" w:type="dxa"/>
        <w:tblLayout w:type="fixed"/>
        <w:tblLook w:val="0400" w:firstRow="0" w:lastRow="0" w:firstColumn="0" w:lastColumn="0" w:noHBand="0" w:noVBand="1"/>
      </w:tblPr>
      <w:tblGrid>
        <w:gridCol w:w="2688"/>
        <w:gridCol w:w="4254"/>
        <w:gridCol w:w="2544"/>
      </w:tblGrid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Challenge number(s) addressed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rPr>
                <w:i/>
                <w:sz w:val="22"/>
                <w:szCs w:val="22"/>
              </w:rPr>
              <w:t xml:space="preserve">Regular Liaison with families with poor attendance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data often improves after close communication with families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X2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Welfare meetings with the Family Support </w:t>
            </w:r>
            <w:r>
              <w:rPr>
                <w:i/>
                <w:sz w:val="22"/>
                <w:szCs w:val="22"/>
              </w:rPr>
              <w:lastRenderedPageBreak/>
              <w:t xml:space="preserve">Worker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Children wellbeing surveys mention the effectiveness of the Family support </w:t>
            </w:r>
            <w:r>
              <w:rPr>
                <w:sz w:val="22"/>
                <w:szCs w:val="22"/>
              </w:rPr>
              <w:lastRenderedPageBreak/>
              <w:t xml:space="preserve">worker directly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X10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Enrichment Opportunities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and children’s surveys highlight these activities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x18</w:t>
            </w:r>
          </w:p>
        </w:tc>
      </w:tr>
      <w:tr w:rsidR="00DE7E3A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Family support with other costs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surveys show that this support is welcomed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x18</w:t>
            </w:r>
          </w:p>
        </w:tc>
      </w:tr>
    </w:tbl>
    <w:p w:rsidR="00DE7E3A" w:rsidRDefault="00DE7E3A">
      <w:pPr>
        <w:spacing w:before="240" w:after="0"/>
        <w:rPr>
          <w:b/>
          <w:color w:val="104F75"/>
          <w:sz w:val="28"/>
          <w:szCs w:val="28"/>
        </w:rPr>
      </w:pPr>
    </w:p>
    <w:p w:rsidR="00DE7E3A" w:rsidRDefault="00402707">
      <w:r>
        <w:rPr>
          <w:b/>
          <w:color w:val="104F75"/>
          <w:sz w:val="28"/>
          <w:szCs w:val="28"/>
        </w:rPr>
        <w:t xml:space="preserve">Total budgeted cost: £ </w:t>
      </w:r>
      <w:r>
        <w:rPr>
          <w:i/>
          <w:color w:val="104F75"/>
          <w:sz w:val="28"/>
          <w:szCs w:val="28"/>
        </w:rPr>
        <w:t>24,944.50</w:t>
      </w:r>
    </w:p>
    <w:p w:rsidR="00DE7E3A" w:rsidRDefault="00402707">
      <w:pPr>
        <w:pStyle w:val="Heading1"/>
      </w:pPr>
      <w:r>
        <w:lastRenderedPageBreak/>
        <w:t>Part B: Review of outcomes in the previous academic year</w:t>
      </w:r>
    </w:p>
    <w:p w:rsidR="00DE7E3A" w:rsidRDefault="00402707">
      <w:pPr>
        <w:pStyle w:val="Heading2"/>
      </w:pPr>
      <w:r>
        <w:t>Pupil premium strategy outcomes</w:t>
      </w:r>
    </w:p>
    <w:p w:rsidR="00DE7E3A" w:rsidRDefault="00402707">
      <w:r>
        <w:t xml:space="preserve">This details the impact that our pupil premium activity had on pupils in the 2020 to 2021 academic year. </w:t>
      </w:r>
    </w:p>
    <w:tbl>
      <w:tblPr>
        <w:tblStyle w:val="af3"/>
        <w:tblW w:w="9493" w:type="dxa"/>
        <w:tblLayout w:type="fixed"/>
        <w:tblLook w:val="0400" w:firstRow="0" w:lastRow="0" w:firstColumn="0" w:lastColumn="0" w:noHBand="0" w:noVBand="1"/>
      </w:tblPr>
      <w:tblGrid>
        <w:gridCol w:w="9493"/>
      </w:tblGrid>
      <w:tr w:rsidR="00DE7E3A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Pr="00CC30A0" w:rsidRDefault="00402707">
            <w:pPr>
              <w:rPr>
                <w:i/>
              </w:rPr>
            </w:pPr>
            <w:r w:rsidRPr="00CC30A0">
              <w:rPr>
                <w:b/>
              </w:rPr>
              <w:t>Attendance</w:t>
            </w:r>
            <w:r w:rsidRPr="00CC30A0">
              <w:t xml:space="preserve"> of PP pupils:</w:t>
            </w:r>
            <w:r w:rsidR="00CC30A0" w:rsidRPr="00CC30A0">
              <w:t>97.32% in 2020-21 (up from 96.09 in 2019-20) –</w:t>
            </w:r>
            <w:r w:rsidR="00CC30A0" w:rsidRPr="00CC30A0">
              <w:rPr>
                <w:i/>
              </w:rPr>
              <w:t xml:space="preserve"> NB figures affected by partial closure and </w:t>
            </w:r>
            <w:proofErr w:type="spellStart"/>
            <w:r w:rsidR="00CC30A0" w:rsidRPr="00CC30A0">
              <w:rPr>
                <w:i/>
              </w:rPr>
              <w:t>covid</w:t>
            </w:r>
            <w:proofErr w:type="spellEnd"/>
            <w:r w:rsidR="00CC30A0" w:rsidRPr="00CC30A0">
              <w:rPr>
                <w:i/>
              </w:rPr>
              <w:t xml:space="preserve"> absence codes</w:t>
            </w:r>
          </w:p>
          <w:p w:rsidR="00DE7E3A" w:rsidRDefault="00402707">
            <w:pPr>
              <w:rPr>
                <w:i/>
                <w:highlight w:val="yellow"/>
              </w:rPr>
            </w:pPr>
            <w:r w:rsidRPr="00CC30A0">
              <w:rPr>
                <w:b/>
              </w:rPr>
              <w:t>Parent Survey comments</w:t>
            </w:r>
            <w:r w:rsidRPr="00CC30A0">
              <w:t>:</w:t>
            </w:r>
            <w:r w:rsidRPr="00CC30A0">
              <w:rPr>
                <w:i/>
              </w:rPr>
              <w:t xml:space="preserve"> </w:t>
            </w:r>
            <w:r w:rsidR="00CC30A0">
              <w:rPr>
                <w:noProof/>
              </w:rPr>
              <w:drawing>
                <wp:inline distT="0" distB="0" distL="0" distR="0" wp14:anchorId="0DC1F606" wp14:editId="03DCC6A7">
                  <wp:extent cx="5943600" cy="23615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36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E3A" w:rsidRPr="00CC30A0" w:rsidRDefault="00402707" w:rsidP="00CC30A0">
            <w:r w:rsidRPr="00CC30A0">
              <w:rPr>
                <w:b/>
              </w:rPr>
              <w:t>PP progress</w:t>
            </w:r>
            <w:r w:rsidRPr="00CC30A0">
              <w:t xml:space="preserve"> compared to non PP:  </w:t>
            </w:r>
            <w:r w:rsidR="00CC30A0">
              <w:t>Average progress across Reading, Writing and Maths within the academic year 2020-21 was 4.5 points (Target Tracker) as opposed to 4.6 points for non PP</w:t>
            </w:r>
          </w:p>
        </w:tc>
      </w:tr>
    </w:tbl>
    <w:p w:rsidR="00DE7E3A" w:rsidRDefault="00402707">
      <w:pPr>
        <w:pStyle w:val="Heading2"/>
        <w:spacing w:before="600"/>
      </w:pPr>
      <w:r>
        <w:t>Externally provided programmes</w:t>
      </w:r>
    </w:p>
    <w:p w:rsidR="00DE7E3A" w:rsidRDefault="00402707">
      <w:pPr>
        <w:rPr>
          <w:i/>
        </w:rPr>
      </w:pPr>
      <w:r>
        <w:rPr>
          <w:i/>
        </w:rPr>
        <w:t>Please include the names of any non-DfE programmes that you purchased in the previous academic year. This will help the Department for Education identify which ones are popular in England</w:t>
      </w:r>
    </w:p>
    <w:tbl>
      <w:tblPr>
        <w:tblStyle w:val="af4"/>
        <w:tblW w:w="9486" w:type="dxa"/>
        <w:tblLayout w:type="fixed"/>
        <w:tblLook w:val="0400" w:firstRow="0" w:lastRow="0" w:firstColumn="0" w:lastColumn="0" w:noHBand="0" w:noVBand="1"/>
      </w:tblPr>
      <w:tblGrid>
        <w:gridCol w:w="4815"/>
        <w:gridCol w:w="4671"/>
      </w:tblGrid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>Provider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PIXL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 xml:space="preserve">John Rowling 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DE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DE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</w:p>
        </w:tc>
      </w:tr>
    </w:tbl>
    <w:p w:rsidR="00DE7E3A" w:rsidRDefault="00402707">
      <w:pPr>
        <w:pStyle w:val="Heading2"/>
        <w:spacing w:before="600"/>
      </w:pPr>
      <w:r>
        <w:t>Service pupil premium funding (optional)</w:t>
      </w:r>
    </w:p>
    <w:p w:rsidR="00DE7E3A" w:rsidRDefault="00402707">
      <w:pPr>
        <w:rPr>
          <w:i/>
        </w:rPr>
      </w:pPr>
      <w:r>
        <w:rPr>
          <w:i/>
        </w:rPr>
        <w:t xml:space="preserve">For schools that receive this funding, you may wish to provide the following information: </w:t>
      </w:r>
    </w:p>
    <w:tbl>
      <w:tblPr>
        <w:tblStyle w:val="af5"/>
        <w:tblW w:w="9486" w:type="dxa"/>
        <w:tblLayout w:type="fixed"/>
        <w:tblLook w:val="0400" w:firstRow="0" w:lastRow="0" w:firstColumn="0" w:lastColumn="0" w:noHBand="0" w:noVBand="1"/>
      </w:tblPr>
      <w:tblGrid>
        <w:gridCol w:w="4815"/>
        <w:gridCol w:w="4671"/>
      </w:tblGrid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bookmarkStart w:id="5" w:name="_heading=h.2et92p0" w:colFirst="0" w:colLast="0"/>
            <w:bookmarkEnd w:id="5"/>
            <w:r>
              <w:rPr>
                <w:b/>
              </w:rPr>
              <w:lastRenderedPageBreak/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  <w:rPr>
                <w:b/>
              </w:rPr>
            </w:pPr>
            <w:r>
              <w:rPr>
                <w:b/>
              </w:rPr>
              <w:t xml:space="preserve">Details 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rPr>
                <w:color w:val="000000"/>
                <w:sz w:val="22"/>
                <w:szCs w:val="22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CC30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t>n/a</w:t>
            </w:r>
          </w:p>
        </w:tc>
      </w:tr>
      <w:tr w:rsidR="00DE7E3A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  <w:r>
              <w:rPr>
                <w:color w:val="000000"/>
                <w:sz w:val="22"/>
                <w:szCs w:val="22"/>
              </w:rPr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DE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57" w:right="57"/>
            </w:pPr>
          </w:p>
        </w:tc>
      </w:tr>
    </w:tbl>
    <w:p w:rsidR="00DE7E3A" w:rsidRDefault="00DE7E3A"/>
    <w:p w:rsidR="00DE7E3A" w:rsidRDefault="00402707">
      <w:pPr>
        <w:pStyle w:val="Heading1"/>
      </w:pPr>
      <w:r>
        <w:lastRenderedPageBreak/>
        <w:t>Further information (optional)</w:t>
      </w:r>
    </w:p>
    <w:tbl>
      <w:tblPr>
        <w:tblStyle w:val="af6"/>
        <w:tblW w:w="9486" w:type="dxa"/>
        <w:tblLayout w:type="fixed"/>
        <w:tblLook w:val="0400" w:firstRow="0" w:lastRow="0" w:firstColumn="0" w:lastColumn="0" w:noHBand="0" w:noVBand="1"/>
      </w:tblPr>
      <w:tblGrid>
        <w:gridCol w:w="9486"/>
      </w:tblGrid>
      <w:tr w:rsidR="00DE7E3A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E3A" w:rsidRDefault="00402707">
            <w:pPr>
              <w:spacing w:before="120" w:after="120"/>
              <w:rPr>
                <w:i/>
              </w:rPr>
            </w:pPr>
            <w:r>
              <w:rPr>
                <w:i/>
              </w:rPr>
              <w:t>The grant is also used to support the vulnerable families:</w:t>
            </w:r>
          </w:p>
          <w:p w:rsidR="00DE7E3A" w:rsidRDefault="00402707">
            <w:pPr>
              <w:spacing w:before="120" w:after="120"/>
              <w:rPr>
                <w:i/>
              </w:rPr>
            </w:pPr>
            <w:r>
              <w:rPr>
                <w:i/>
              </w:rPr>
              <w:t>-Care club costs covered</w:t>
            </w:r>
          </w:p>
          <w:p w:rsidR="00DE7E3A" w:rsidRDefault="00402707">
            <w:pPr>
              <w:spacing w:before="120" w:after="120"/>
              <w:rPr>
                <w:i/>
              </w:rPr>
            </w:pPr>
            <w:r>
              <w:rPr>
                <w:i/>
              </w:rPr>
              <w:t>-School uniform (if necessary)</w:t>
            </w:r>
          </w:p>
          <w:p w:rsidR="00DE7E3A" w:rsidRDefault="00402707">
            <w:pPr>
              <w:spacing w:before="120" w:after="120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Extra curricular</w:t>
            </w:r>
            <w:proofErr w:type="spellEnd"/>
            <w:r>
              <w:rPr>
                <w:i/>
              </w:rPr>
              <w:t xml:space="preserve"> clubs costs are covered</w:t>
            </w:r>
          </w:p>
          <w:p w:rsidR="00DE7E3A" w:rsidRDefault="00402707">
            <w:pPr>
              <w:spacing w:before="120" w:after="120"/>
              <w:rPr>
                <w:i/>
              </w:rPr>
            </w:pPr>
            <w:r>
              <w:rPr>
                <w:i/>
              </w:rPr>
              <w:t xml:space="preserve">-Residential trips cost is supported </w:t>
            </w:r>
          </w:p>
        </w:tc>
      </w:tr>
    </w:tbl>
    <w:p w:rsidR="00DE7E3A" w:rsidRDefault="00DE7E3A"/>
    <w:p w:rsidR="00DE7E3A" w:rsidRDefault="00402707">
      <w:pPr>
        <w:jc w:val="center"/>
        <w:rPr>
          <w:b/>
          <w:u w:val="single"/>
        </w:rPr>
      </w:pPr>
      <w:r>
        <w:rPr>
          <w:b/>
          <w:u w:val="single"/>
        </w:rPr>
        <w:t>Teaching and Learning Toolkit</w:t>
      </w:r>
    </w:p>
    <w:p w:rsidR="00DE7E3A" w:rsidRDefault="00402707">
      <w:pPr>
        <w:jc w:val="center"/>
        <w:rPr>
          <w:b/>
          <w:u w:val="single"/>
        </w:rPr>
      </w:pPr>
      <w:r>
        <w:rPr>
          <w:b/>
          <w:u w:val="single"/>
        </w:rPr>
        <w:t>Which intervention and why?</w:t>
      </w:r>
    </w:p>
    <w:p w:rsidR="00DE7E3A" w:rsidRDefault="00CC30A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A523A2" wp14:editId="6554A749">
            <wp:simplePos x="0" y="0"/>
            <wp:positionH relativeFrom="column">
              <wp:posOffset>3810</wp:posOffset>
            </wp:positionH>
            <wp:positionV relativeFrom="paragraph">
              <wp:posOffset>1212215</wp:posOffset>
            </wp:positionV>
            <wp:extent cx="6029960" cy="582295"/>
            <wp:effectExtent l="0" t="0" r="8890" b="8255"/>
            <wp:wrapSquare wrapText="bothSides" distT="0" distB="0" distL="114300" distR="11430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82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2707">
        <w:rPr>
          <w:noProof/>
        </w:rPr>
        <w:drawing>
          <wp:inline distT="0" distB="0" distL="0" distR="0" wp14:anchorId="41EB1B73" wp14:editId="7388DAB9">
            <wp:extent cx="6029960" cy="5588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02707">
        <w:rPr>
          <w:noProof/>
        </w:rPr>
        <w:drawing>
          <wp:inline distT="0" distB="0" distL="0" distR="0" wp14:anchorId="643BE424" wp14:editId="68AC195C">
            <wp:extent cx="6029960" cy="537210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53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02707">
        <w:rPr>
          <w:noProof/>
        </w:rPr>
        <w:drawing>
          <wp:inline distT="0" distB="0" distL="0" distR="0" wp14:anchorId="2D55C7EC" wp14:editId="4EE378FB">
            <wp:extent cx="6029960" cy="69596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7E3A" w:rsidRDefault="00DE7E3A">
      <w:pPr>
        <w:ind w:firstLine="720"/>
      </w:pPr>
    </w:p>
    <w:p w:rsidR="00DE7E3A" w:rsidRDefault="00402707">
      <w:r>
        <w:t>https://educationendowmentfoundation.org.uk/education-evidence/teaching-learning-toolkit</w:t>
      </w:r>
    </w:p>
    <w:sectPr w:rsidR="00DE7E3A">
      <w:headerReference w:type="default" r:id="rId14"/>
      <w:footerReference w:type="default" r:id="rId15"/>
      <w:pgSz w:w="11906" w:h="16838"/>
      <w:pgMar w:top="1134" w:right="1276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DB" w:rsidRDefault="00E759DB">
      <w:pPr>
        <w:spacing w:after="0" w:line="240" w:lineRule="auto"/>
      </w:pPr>
      <w:r>
        <w:separator/>
      </w:r>
    </w:p>
  </w:endnote>
  <w:endnote w:type="continuationSeparator" w:id="0">
    <w:p w:rsidR="00E759DB" w:rsidRDefault="00E7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A" w:rsidRDefault="004027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4513"/>
    </w:pPr>
    <w:r>
      <w:fldChar w:fldCharType="begin"/>
    </w:r>
    <w:r>
      <w:instrText>PAGE</w:instrText>
    </w:r>
    <w:r>
      <w:fldChar w:fldCharType="separate"/>
    </w:r>
    <w:r w:rsidR="00710D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DB" w:rsidRDefault="00E759DB">
      <w:pPr>
        <w:spacing w:after="0" w:line="240" w:lineRule="auto"/>
      </w:pPr>
      <w:r>
        <w:separator/>
      </w:r>
    </w:p>
  </w:footnote>
  <w:footnote w:type="continuationSeparator" w:id="0">
    <w:p w:rsidR="00E759DB" w:rsidRDefault="00E7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3A" w:rsidRDefault="00DE7E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31E6"/>
    <w:multiLevelType w:val="multilevel"/>
    <w:tmpl w:val="E9608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9F319F"/>
    <w:multiLevelType w:val="multilevel"/>
    <w:tmpl w:val="974486DC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3A"/>
    <w:rsid w:val="00402707"/>
    <w:rsid w:val="006F65E1"/>
    <w:rsid w:val="00710D3E"/>
    <w:rsid w:val="00CC30A0"/>
    <w:rsid w:val="00DE7E3A"/>
    <w:rsid w:val="00E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D0D0D"/>
        <w:sz w:val="24"/>
        <w:szCs w:val="24"/>
        <w:lang w:val="en-GB" w:eastAsia="en-GB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numbering" w:customStyle="1" w:styleId="WWOutlineListStyle1">
    <w:name w:val="WW_OutlineListStyle_1"/>
    <w:basedOn w:val="NoList"/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pPr>
      <w:tabs>
        <w:tab w:val="num" w:pos="720"/>
      </w:tabs>
      <w:ind w:left="720" w:hanging="720"/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tabs>
        <w:tab w:val="num" w:pos="720"/>
      </w:tabs>
      <w:ind w:left="720" w:hanging="720"/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tabs>
        <w:tab w:val="left" w:pos="491"/>
        <w:tab w:val="num" w:pos="720"/>
      </w:tabs>
      <w:ind w:left="720" w:hanging="720"/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tabs>
        <w:tab w:val="num" w:pos="720"/>
      </w:tabs>
      <w:ind w:left="720" w:hanging="720"/>
      <w:contextualSpacing/>
    </w:p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spacing w:line="240" w:lineRule="auto"/>
      <w:ind w:left="720" w:hanging="720"/>
      <w:textAlignment w:val="baseline"/>
    </w:pPr>
    <w:rPr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tabs>
        <w:tab w:val="num" w:pos="720"/>
      </w:tabs>
      <w:overflowPunct w:val="0"/>
      <w:autoSpaceDE w:val="0"/>
      <w:spacing w:line="240" w:lineRule="auto"/>
      <w:ind w:left="720" w:hanging="720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tabs>
        <w:tab w:val="num" w:pos="720"/>
      </w:tabs>
      <w:overflowPunct w:val="0"/>
      <w:autoSpaceDE w:val="0"/>
      <w:spacing w:line="240" w:lineRule="auto"/>
      <w:ind w:left="720" w:hanging="720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next w:val="Normal"/>
    <w:pPr>
      <w:widowControl w:val="0"/>
      <w:spacing w:after="60" w:line="240" w:lineRule="auto"/>
      <w:jc w:val="center"/>
    </w:pPr>
    <w:rPr>
      <w:i/>
      <w:color w:val="000000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tabs>
        <w:tab w:val="num" w:pos="720"/>
      </w:tabs>
      <w:overflowPunct w:val="0"/>
      <w:autoSpaceDE w:val="0"/>
      <w:spacing w:line="240" w:lineRule="auto"/>
      <w:ind w:left="720" w:hanging="720"/>
      <w:textAlignment w:val="baseline"/>
    </w:pPr>
    <w:rPr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</w:style>
  <w:style w:type="numbering" w:customStyle="1" w:styleId="LFO3">
    <w:name w:val="LFO3"/>
    <w:basedOn w:val="NoList"/>
  </w:style>
  <w:style w:type="numbering" w:customStyle="1" w:styleId="LFO4">
    <w:name w:val="LFO4"/>
    <w:basedOn w:val="NoList"/>
  </w:style>
  <w:style w:type="numbering" w:customStyle="1" w:styleId="LFO6">
    <w:name w:val="LFO6"/>
    <w:basedOn w:val="NoList"/>
  </w:style>
  <w:style w:type="numbering" w:customStyle="1" w:styleId="LFO9">
    <w:name w:val="LFO9"/>
    <w:basedOn w:val="NoList"/>
  </w:style>
  <w:style w:type="numbering" w:customStyle="1" w:styleId="LFO10">
    <w:name w:val="LFO10"/>
    <w:basedOn w:val="NoList"/>
  </w:style>
  <w:style w:type="numbering" w:customStyle="1" w:styleId="LFO25">
    <w:name w:val="LFO25"/>
    <w:basedOn w:val="NoList"/>
  </w:style>
  <w:style w:type="numbering" w:customStyle="1" w:styleId="LFO28">
    <w:name w:val="LFO28"/>
    <w:basedOn w:val="NoList"/>
  </w:style>
  <w:style w:type="numbering" w:customStyle="1" w:styleId="LFO30">
    <w:name w:val="LFO30"/>
    <w:basedOn w:val="NoList"/>
  </w:style>
  <w:style w:type="numbering" w:customStyle="1" w:styleId="LFO34">
    <w:name w:val="LFO34"/>
    <w:basedOn w:val="NoList"/>
  </w:style>
  <w:style w:type="numbering" w:customStyle="1" w:styleId="LFO36">
    <w:name w:val="LFO36"/>
    <w:basedOn w:val="NoList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D0D0D"/>
        <w:sz w:val="24"/>
        <w:szCs w:val="24"/>
        <w:lang w:val="en-GB" w:eastAsia="en-GB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numbering" w:customStyle="1" w:styleId="WWOutlineListStyle1">
    <w:name w:val="WW_OutlineListStyle_1"/>
    <w:basedOn w:val="NoList"/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pPr>
      <w:tabs>
        <w:tab w:val="num" w:pos="720"/>
      </w:tabs>
      <w:ind w:left="720" w:hanging="720"/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tabs>
        <w:tab w:val="num" w:pos="720"/>
      </w:tabs>
      <w:ind w:left="720" w:hanging="720"/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tabs>
        <w:tab w:val="left" w:pos="491"/>
        <w:tab w:val="num" w:pos="720"/>
      </w:tabs>
      <w:ind w:left="720" w:hanging="720"/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tabs>
        <w:tab w:val="num" w:pos="720"/>
      </w:tabs>
      <w:ind w:left="720" w:hanging="720"/>
      <w:contextualSpacing/>
    </w:pPr>
  </w:style>
  <w:style w:type="paragraph" w:customStyle="1" w:styleId="DfESOutNumbered">
    <w:name w:val="DfESOutNumbered"/>
    <w:basedOn w:val="Normal"/>
    <w:pPr>
      <w:widowControl w:val="0"/>
      <w:tabs>
        <w:tab w:val="num" w:pos="720"/>
      </w:tabs>
      <w:overflowPunct w:val="0"/>
      <w:autoSpaceDE w:val="0"/>
      <w:spacing w:line="240" w:lineRule="auto"/>
      <w:ind w:left="720" w:hanging="720"/>
      <w:textAlignment w:val="baseline"/>
    </w:pPr>
    <w:rPr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tabs>
        <w:tab w:val="num" w:pos="720"/>
      </w:tabs>
      <w:overflowPunct w:val="0"/>
      <w:autoSpaceDE w:val="0"/>
      <w:spacing w:line="240" w:lineRule="auto"/>
      <w:ind w:left="720" w:hanging="720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tabs>
        <w:tab w:val="num" w:pos="720"/>
      </w:tabs>
      <w:overflowPunct w:val="0"/>
      <w:autoSpaceDE w:val="0"/>
      <w:spacing w:line="240" w:lineRule="auto"/>
      <w:ind w:left="720" w:hanging="720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next w:val="Normal"/>
    <w:pPr>
      <w:widowControl w:val="0"/>
      <w:spacing w:after="60" w:line="240" w:lineRule="auto"/>
      <w:jc w:val="center"/>
    </w:pPr>
    <w:rPr>
      <w:i/>
      <w:color w:val="000000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tabs>
        <w:tab w:val="num" w:pos="720"/>
      </w:tabs>
      <w:overflowPunct w:val="0"/>
      <w:autoSpaceDE w:val="0"/>
      <w:spacing w:line="240" w:lineRule="auto"/>
      <w:ind w:left="720" w:hanging="720"/>
      <w:textAlignment w:val="baseline"/>
    </w:pPr>
    <w:rPr>
      <w:color w:val="auto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</w:style>
  <w:style w:type="numbering" w:customStyle="1" w:styleId="LFO3">
    <w:name w:val="LFO3"/>
    <w:basedOn w:val="NoList"/>
  </w:style>
  <w:style w:type="numbering" w:customStyle="1" w:styleId="LFO4">
    <w:name w:val="LFO4"/>
    <w:basedOn w:val="NoList"/>
  </w:style>
  <w:style w:type="numbering" w:customStyle="1" w:styleId="LFO6">
    <w:name w:val="LFO6"/>
    <w:basedOn w:val="NoList"/>
  </w:style>
  <w:style w:type="numbering" w:customStyle="1" w:styleId="LFO9">
    <w:name w:val="LFO9"/>
    <w:basedOn w:val="NoList"/>
  </w:style>
  <w:style w:type="numbering" w:customStyle="1" w:styleId="LFO10">
    <w:name w:val="LFO10"/>
    <w:basedOn w:val="NoList"/>
  </w:style>
  <w:style w:type="numbering" w:customStyle="1" w:styleId="LFO25">
    <w:name w:val="LFO25"/>
    <w:basedOn w:val="NoList"/>
  </w:style>
  <w:style w:type="numbering" w:customStyle="1" w:styleId="LFO28">
    <w:name w:val="LFO28"/>
    <w:basedOn w:val="NoList"/>
  </w:style>
  <w:style w:type="numbering" w:customStyle="1" w:styleId="LFO30">
    <w:name w:val="LFO30"/>
    <w:basedOn w:val="NoList"/>
  </w:style>
  <w:style w:type="numbering" w:customStyle="1" w:styleId="LFO34">
    <w:name w:val="LFO34"/>
    <w:basedOn w:val="NoList"/>
  </w:style>
  <w:style w:type="numbering" w:customStyle="1" w:styleId="LFO36">
    <w:name w:val="LFO36"/>
    <w:basedOn w:val="NoList"/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Tiur8MhMsX4cooI9bZg746TqQ==">AMUW2mVaBB8UKxiXI1By3gzT/qwD0Z2ESia4i2Brbn/wWOY3d8GuEor3srPQ8OtRMcaxWgtvxmhqxApMvBsAcYS3AmNACkt0k9cRXf1HVYnvOsZT0rddVQ+oxwWhD7sf88LLluYr2qs8OCtUXGWhrAmJReuefGHujXyKnBN85D2Xcv7OnnqKWVq0O1fPr7Zrox+Z634Tz3tj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Publishing.TEAM@education.gsi.gov.uk</dc:creator>
  <cp:lastModifiedBy>Helen Johnson</cp:lastModifiedBy>
  <cp:revision>2</cp:revision>
  <dcterms:created xsi:type="dcterms:W3CDTF">2021-10-05T13:26:00Z</dcterms:created>
  <dcterms:modified xsi:type="dcterms:W3CDTF">2021-10-05T13:26:00Z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